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Thomas Gallagher</w:t>
      </w:r>
    </w:p>
    <w:p>
      <w:pPr>
        <w:jc w:val="center"/>
      </w:pPr>
      <w:r>
        <w:rPr>
          <w:i/>
        </w:rPr>
        <w:t>Senior Director, Regulatory Affairs | Fictional executive resume template</w:t>
      </w:r>
    </w:p>
    <w:p>
      <w:pPr>
        <w:jc w:val="center"/>
      </w:pPr>
      <w:r>
        <w:t>Greater New York City Area | clinical.trial.leader@example.com | LinkedIn: linkedin.com/in/example-profile</w:t>
      </w:r>
    </w:p>
    <w:p>
      <w:r>
        <w:rPr>
          <w:b/>
          <w:sz w:val="24"/>
        </w:rPr>
        <w:t>Executive Summary</w:t>
      </w:r>
    </w:p>
    <w:p>
      <w:r>
        <w:t>Senior Director, Regulatory Affairs with 19+ years of in regulatory affairs and clinical development submissions experience. Core expertise includes IND/CTA strategy, agency interactions, protocol amendment strategy, labeling implications, submission readiness, and regional regulatory risk. Career pattern is modeled on senior pharmaceutical, biotechnology, and CRO leadership profiles; this is a fictional template for readers.</w:t>
      </w:r>
    </w:p>
    <w:p>
      <w:r>
        <w:rPr>
          <w:b/>
          <w:sz w:val="24"/>
        </w:rPr>
        <w:t>Core Competencies</w:t>
      </w:r>
    </w:p>
    <w:p>
      <w:r>
        <w:t>IND | CTA | FDA | EMA | protocol amendment | regulatory strategy | health authority interaction</w:t>
      </w:r>
    </w:p>
    <w:p>
      <w:r>
        <w:rPr>
          <w:b/>
          <w:sz w:val="24"/>
        </w:rPr>
        <w:t>Selected Clinical Trial Leadership</w:t>
      </w:r>
    </w:p>
    <w:p>
      <w:pPr>
        <w:pStyle w:val="ListBullet"/>
      </w:pPr>
      <w:r>
        <w:t>FDA/EMA-facing Phase II-III studies, device investigations, noninferiority studies, pediatric programs, and global amendment rollouts.</w:t>
      </w:r>
    </w:p>
    <w:p>
      <w:pPr>
        <w:pStyle w:val="ListBullet"/>
      </w:pPr>
      <w:r>
        <w:t>Led IND/CTA and amendment strategies across FDA, EMA, and regional agency expectations for global clinical development programs.</w:t>
      </w:r>
    </w:p>
    <w:p>
      <w:pPr>
        <w:pStyle w:val="ListBullet"/>
      </w:pPr>
      <w:r>
        <w:t>Advised teams on whether operational change required clarification, retraining, protocol amendment, or agency communication.</w:t>
      </w:r>
    </w:p>
    <w:p>
      <w:pPr>
        <w:pStyle w:val="ListBullet"/>
      </w:pPr>
      <w:r>
        <w:t>Prepared inspection and submission narratives connecting protocol decisions, implementation evidence, and residual regulatory risk.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2021 - Present  Senior Director, Regulatory Affairs, Regeneron</w:t>
      </w:r>
    </w:p>
    <w:p>
      <w:pPr>
        <w:pStyle w:val="ListBullet"/>
      </w:pPr>
      <w:r>
        <w:t>Qualified because he turns operational changes into regulatory decisions before they become uncontrolled protocol drift.</w:t>
      </w:r>
    </w:p>
    <w:p>
      <w:pPr>
        <w:pStyle w:val="ListBullet"/>
      </w:pPr>
      <w:r>
        <w:t>Owned senior-level responsibilities aligned to senior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2015 - 2021  Global Regulatory Lead, Pfizer</w:t>
      </w:r>
    </w:p>
    <w:p>
      <w:pPr>
        <w:pStyle w:val="ListBullet"/>
      </w:pPr>
      <w:r>
        <w:t>Owned senior-level responsibilities aligned to global regulatory lead,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2008 - 2015  Regulatory Strategy Manager, Bayer</w:t>
      </w:r>
    </w:p>
    <w:p>
      <w:pPr>
        <w:pStyle w:val="ListBullet"/>
      </w:pPr>
      <w:r>
        <w:t>Owned senior-level responsibilities aligned to regulatory strategy manager,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  <w:sz w:val="24"/>
        </w:rPr>
        <w:t>Education and Certifications</w:t>
      </w:r>
    </w:p>
    <w:p>
      <w:r>
        <w:t>MS or BS, Life Sciences; RAC, GCP QA, or inspection readiness training</w:t>
      </w:r>
    </w:p>
    <w:p>
      <w:r>
        <w:rPr>
          <w:b/>
          <w:sz w:val="24"/>
        </w:rPr>
        <w:t>Template Notes for Readers</w:t>
      </w:r>
    </w:p>
    <w:p>
      <w:pPr>
        <w:pStyle w:val="ListBullet"/>
      </w:pPr>
      <w:r>
        <w:t>This resume is fictional and should be adapted to truthful personal experience before use.</w:t>
      </w:r>
    </w:p>
    <w:p>
      <w:pPr>
        <w:pStyle w:val="ListBullet"/>
      </w:pPr>
      <w:r>
        <w:t>Real job applications should quantify scope: number of studies, countries, sites, participants, vendors, budget size, submissions, audits, and inspections.</w:t>
      </w:r>
    </w:p>
    <w:p>
      <w:pPr>
        <w:pStyle w:val="ListBullet"/>
      </w:pPr>
      <w:r>
        <w:t>Remove fictional company history and replace with verifiable employment, dates, achievements, systems, and therapeutic areas.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