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Grace Kim</w:t>
      </w:r>
    </w:p>
    <w:p>
      <w:pPr>
        <w:jc w:val="center"/>
      </w:pPr>
      <w:r>
        <w:rPr>
          <w:i/>
        </w:rPr>
        <w:t>Director, Clinical Quality Assurance and Inspection Readiness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Clinical Quality Assurance and Inspection Readiness with 18+ years of in clinical quality assurance and inspection readiness experience. Core expertise includes ICH/GCP quality systems, audit strategy, CAPA, TMF inspection reconstruction, RBQM/QTL governance, and sponsor oversight evidence.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GCP QA | CAPA | TMF inspection readiness | audit strategy | RBQM | QTL | vendor audit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Respiratory rescue trials, device studies, BA/BE studies, oncology, dermatology imaging, and global inspection preparation.</w:t>
      </w:r>
    </w:p>
    <w:p>
      <w:pPr>
        <w:pStyle w:val="ListBullet"/>
      </w:pPr>
      <w:r>
        <w:t>Led GCP QA strategy, vendor/site audit planning, CAPA governance, TMF readiness, and health-authority inspection preparation.</w:t>
      </w:r>
    </w:p>
    <w:p>
      <w:pPr>
        <w:pStyle w:val="ListBullet"/>
      </w:pPr>
      <w:r>
        <w:t>Created risk-based inspection readiness routines across CROs, labs, eCOA, IRT, data management, safety, and TMF operations.</w:t>
      </w:r>
    </w:p>
    <w:p>
      <w:pPr>
        <w:pStyle w:val="ListBullet"/>
      </w:pPr>
      <w:r>
        <w:t>Partnered with clinical teams to convert audit findings into corrective actions with owner, due date, evidence, and effectiveness checks.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Clinical Quality Assurance, Genentech</w:t>
      </w:r>
    </w:p>
    <w:p>
      <w:pPr>
        <w:pStyle w:val="ListBullet"/>
      </w:pPr>
      <w:r>
        <w:t>Qualified because she can reconstruct what the team knew, decided, corrected, and filed when regulators ask for proof.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Inspection Readiness Lead, Johnson &amp; Johnson</w:t>
      </w:r>
    </w:p>
    <w:p>
      <w:pPr>
        <w:pStyle w:val="ListBullet"/>
      </w:pPr>
      <w:r>
        <w:t>Owned senior-level responsibilities aligned to inspection readiness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GCP Auditor, Parexel</w:t>
      </w:r>
    </w:p>
    <w:p>
      <w:pPr>
        <w:pStyle w:val="ListBullet"/>
      </w:pPr>
      <w:r>
        <w:t>Owned senior-level responsibilities aligned to gcp auditor,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Sciences; RAC, GCP QA, or inspection readiness training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