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Dr. Daniel Liang</w:t>
      </w:r>
    </w:p>
    <w:p>
      <w:pPr>
        <w:jc w:val="center"/>
      </w:pPr>
      <w:r>
        <w:rPr>
          <w:i/>
        </w:rPr>
        <w:t>President, Global Clinical Trial Management Department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President, Global Clinical Trial Management Department with 24+ years of in global clinical development and clinical trial management experience. Core expertise includes Portfolio governance, rescue-trial leadership, executive escalation, inspection readiness, and cross-functional operating models.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R&amp;D strategy | portfolio governance | inspection evidence | rescue trial | executive escalation | operating model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Led or governed cardiovascular, oncology, respiratory, DCT/hybrid, pediatric, RWE, and global Phase II-III registration programs.</w:t>
      </w:r>
    </w:p>
    <w:p>
      <w:pPr>
        <w:pStyle w:val="ListBullet"/>
      </w:pPr>
      <w:r>
        <w:t>Built a global clinical trial management operating model covering 40+ active studies and standardizing risk, issue, decision, and inspection evidence practices.</w:t>
      </w:r>
    </w:p>
    <w:p>
      <w:pPr>
        <w:pStyle w:val="ListBullet"/>
      </w:pPr>
      <w:r>
        <w:t>Chaired executive rescue governance for troubled Phase II-III programs, converting fragmented status reporting into decision-ready evidence packages.</w:t>
      </w:r>
    </w:p>
    <w:p>
      <w:pPr>
        <w:pStyle w:val="ListBullet"/>
      </w:pPr>
      <w:r>
        <w:t>Mentored clinical operations, data, quality, statistics, safety, regulatory, and vendor leaders on sponsor oversight and escalation discipline.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Global Head, Clinical Trial Management, Novartis</w:t>
      </w:r>
    </w:p>
    <w:p>
      <w:pPr>
        <w:pStyle w:val="ListBullet"/>
      </w:pPr>
      <w:r>
        <w:t>Approved as the executive anchor for the group because he can translate R&amp;D strategy into trial-level decisions while protecting participant safety, data credibility, and inspection evidence.</w:t>
      </w:r>
    </w:p>
    <w:p>
      <w:pPr>
        <w:pStyle w:val="ListBullet"/>
      </w:pPr>
      <w:r>
        <w:t>Owned senior-level responsibilities aligned to global head,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Vice President, Global Clinical Operations, Pfizer</w:t>
      </w:r>
    </w:p>
    <w:p>
      <w:pPr>
        <w:pStyle w:val="ListBullet"/>
      </w:pPr>
      <w:r>
        <w:t>Owned senior-level responsibilities aligned to vice president,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Executive Director, Clinical Development Operations, Johnson &amp; Johnson</w:t>
      </w:r>
    </w:p>
    <w:p>
      <w:pPr>
        <w:pStyle w:val="ListBullet"/>
      </w:pPr>
      <w:r>
        <w:t>Owned senior-level responsibilities aligned to executive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