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Dr. Aisha Nwosu</w:t>
      </w:r>
    </w:p>
    <w:p>
      <w:pPr>
        <w:jc w:val="center"/>
      </w:pPr>
      <w:r>
        <w:rPr>
          <w:i/>
        </w:rPr>
        <w:t>Director, Patient Engagement and Diversity Strategy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Patient Engagement and Diversity Strategy with 14+ years of in patient engagement, recruitment equity, and participant experience experience. Core expertise includes Diversity strategy, patient burden assessment, plain-language materials, retention design, advocacy engagement, and community feasibility.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patient burden | plain-language material | diversity strategy | retention | advocacy | community feasibility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Pediatric vaccine, rare disease, maternal health, women's health, screening, and decentralized/hybrid trials.</w:t>
      </w:r>
    </w:p>
    <w:p>
      <w:pPr>
        <w:pStyle w:val="ListBullet"/>
      </w:pPr>
      <w:r>
        <w:t>Led patient engagement workstreams across complex clinical studies using patient burden, plain-language material, diversity strategy, retention.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Patient Engagement, Genentech</w:t>
      </w:r>
    </w:p>
    <w:p>
      <w:pPr>
        <w:pStyle w:val="ListBullet"/>
      </w:pPr>
      <w:r>
        <w:t>Qualified because she keeps recruitment and retention plans grounded in participant trust, burden, access, and equity.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Diversity in Clinical Trials Lead, Pfizer</w:t>
      </w:r>
    </w:p>
    <w:p>
      <w:pPr>
        <w:pStyle w:val="ListBullet"/>
      </w:pPr>
      <w:r>
        <w:t>Owned senior-level responsibilities aligned to diversity in clinical trials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Patient Advocacy Strategy Manager, Novartis</w:t>
      </w:r>
    </w:p>
    <w:p>
      <w:pPr>
        <w:pStyle w:val="ListBullet"/>
      </w:pPr>
      <w:r>
        <w:t>Owned senior-level responsibilities aligned to patient advocacy strategy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