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Caroline Whitaker</w:t>
      </w:r>
    </w:p>
    <w:p>
      <w:pPr>
        <w:jc w:val="center"/>
      </w:pPr>
      <w:r>
        <w:rPr>
          <w:i/>
        </w:rPr>
        <w:t>Director, Executive Communications and Governance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Director, Executive Communications and Governance with 17+ years of in executive communications, governance, and portfolio decision support experience. Core expertise includes Governance forums, executive briefing, decision logs, escalation narratives, board-ready status language, and stakeholder alignment.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executive briefing | decision log | portfolio governance | stakeholder alignment | escalation narrative | board communication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Portfolio-level governance across oncology, respiratory, cardiovascular, device, RWE, and troubled-trial recovery programs.</w:t>
      </w:r>
    </w:p>
    <w:p>
      <w:pPr>
        <w:pStyle w:val="ListBullet"/>
      </w:pPr>
      <w:r>
        <w:t>Led governance workstreams across complex clinical studies using executive briefing, decision log, portfolio governance, stakeholder alignment.</w:t>
      </w:r>
    </w:p>
    <w:p>
      <w:pPr>
        <w:pStyle w:val="ListBullet"/>
      </w:pPr>
      <w:r>
        <w:t>Partnered cross-functionally with clinical operations, medical, statistics, data management, regulatory, quality, safety, and vendors to maintain study control.</w:t>
      </w:r>
    </w:p>
    <w:p>
      <w:pPr>
        <w:pStyle w:val="ListBullet"/>
      </w:pPr>
      <w:r>
        <w:t>Prepared executive-ready updates connecting operational status, risk, mitigation, owner accountability, and decision needs.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Director, R&amp;D Governance Communications, AbbVie</w:t>
      </w:r>
    </w:p>
    <w:p>
      <w:pPr>
        <w:pStyle w:val="ListBullet"/>
      </w:pPr>
      <w:r>
        <w:t>Qualified because she can turn fragmented project evidence into clear executive decisions without hiding uncertainty.</w:t>
      </w:r>
    </w:p>
    <w:p>
      <w:pPr>
        <w:pStyle w:val="ListBullet"/>
      </w:pPr>
      <w:r>
        <w:t>Owned senior-level responsibilities aligned to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Clinical Portfolio Governance Lead, Amgen</w:t>
      </w:r>
    </w:p>
    <w:p>
      <w:pPr>
        <w:pStyle w:val="ListBullet"/>
      </w:pPr>
      <w:r>
        <w:t>Owned senior-level responsibilities aligned to clinical portfolio governance lead,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Executive Communications Manager, Bristol Myers Squibb</w:t>
      </w:r>
    </w:p>
    <w:p>
      <w:pPr>
        <w:pStyle w:val="ListBullet"/>
      </w:pPr>
      <w:r>
        <w:t>Owned senior-level responsibilities aligned to executive communications manager,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Sciences, Public Health, Pharmacy, Nursing, or related discipline; PMP or clinical project leadership training preferred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